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43DF9" w14:textId="77777777" w:rsidR="0072118B" w:rsidRPr="0072118B" w:rsidRDefault="0072118B" w:rsidP="0072118B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Toc228385097"/>
      <w:bookmarkStart w:id="1" w:name="_Toc228431230"/>
      <w:r w:rsidRPr="0072118B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0ACA3780" w14:textId="77777777" w:rsidR="0072118B" w:rsidRPr="0072118B" w:rsidRDefault="0072118B" w:rsidP="0072118B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к местным нормативам</w:t>
      </w:r>
    </w:p>
    <w:p w14:paraId="0ABFEC44" w14:textId="77777777" w:rsidR="0072118B" w:rsidRPr="0072118B" w:rsidRDefault="0072118B" w:rsidP="0072118B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градостроительного проектирования</w:t>
      </w:r>
    </w:p>
    <w:p w14:paraId="7FD79A1B" w14:textId="3293D1AF" w:rsidR="0072118B" w:rsidRPr="0072118B" w:rsidRDefault="0072118B" w:rsidP="0072118B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6BDFE968" w14:textId="58CB6ED7" w:rsidR="0072118B" w:rsidRPr="0072118B" w:rsidRDefault="0072118B" w:rsidP="0072118B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14:paraId="0D4000DD" w14:textId="77777777" w:rsidR="0072118B" w:rsidRPr="0072118B" w:rsidRDefault="0072118B" w:rsidP="0072118B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14:paraId="6BFBB1A9" w14:textId="77777777" w:rsidR="0072118B" w:rsidRPr="0072118B" w:rsidRDefault="0072118B" w:rsidP="0072118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C323A01" w14:textId="05317586" w:rsidR="005E5383" w:rsidRDefault="005E5383" w:rsidP="0072118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Термины и определения</w:t>
      </w:r>
      <w:bookmarkEnd w:id="0"/>
      <w:bookmarkEnd w:id="1"/>
    </w:p>
    <w:p w14:paraId="557651FF" w14:textId="77777777" w:rsidR="0072118B" w:rsidRPr="0072118B" w:rsidRDefault="0072118B" w:rsidP="0072118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DE804B7" w14:textId="00A709DD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 xml:space="preserve">В местных нормативах градостроительного проектирования </w:t>
      </w:r>
      <w:r w:rsidR="00D518EA" w:rsidRPr="0072118B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 w:rsidRPr="0072118B">
        <w:rPr>
          <w:rFonts w:ascii="Times New Roman" w:hAnsi="Times New Roman" w:cs="Times New Roman"/>
          <w:sz w:val="28"/>
          <w:szCs w:val="28"/>
        </w:rPr>
        <w:t xml:space="preserve"> используются приведенные ниже термины с соответствующими определениями, в том числе термины и определения, предусмотренные действующим законодательством Российской Федерации.</w:t>
      </w:r>
    </w:p>
    <w:p w14:paraId="0909BDD8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Автомобильные дороги общего пользования – автомобильные дороги, предназначенные для движения транспортных средств неограниченного круга лиц.</w:t>
      </w:r>
    </w:p>
    <w:p w14:paraId="55C4C762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Благоустройство –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7921D21D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Временное хранение транспортного средства – пребывание транспортного средства на парковке менее 12 часов.</w:t>
      </w:r>
    </w:p>
    <w:p w14:paraId="2186A8BC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Документы стратегического планирования Российской Федерации – документы, определяющие развитие определенной сферы или отрасли экономики, и могут быть основой для разработки государственных программ Российской Федерации, государственных программ субъектов Российской Федерации, схем территориального планирования Российской Федерации, а также плановых и программно-целевых документов государственных корпораций, государственных компаний и акционерных обществ с государственным участием.</w:t>
      </w:r>
    </w:p>
    <w:p w14:paraId="4603F410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Инфраструктура – совокупность предприятий, учреждений, систем управления, связи и т.п., обеспечивающая деятельность общества или какой-либо ее отдельной сферы.</w:t>
      </w:r>
    </w:p>
    <w:p w14:paraId="20B6D365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Муниципальное образование – городское или сельское поселение, муниципальный район, городской округ, муниципальный округ.</w:t>
      </w:r>
    </w:p>
    <w:p w14:paraId="20D88B68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 xml:space="preserve">Населенный пункт – территория Ставропольского края, имеющая сосредоточенную застройку в пределах установленной границы, служащая постоянным местом проживания населения. </w:t>
      </w:r>
    </w:p>
    <w:p w14:paraId="2E68D3B9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 xml:space="preserve">Нормативы градостроительного проектирования – совокупность расчетных показателей, установленных в соответствии с </w:t>
      </w:r>
      <w:proofErr w:type="spellStart"/>
      <w:r w:rsidRPr="0072118B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72118B">
        <w:rPr>
          <w:rFonts w:ascii="Times New Roman" w:hAnsi="Times New Roman" w:cs="Times New Roman"/>
          <w:sz w:val="28"/>
          <w:szCs w:val="28"/>
        </w:rPr>
        <w:t xml:space="preserve"> РФ в целях </w:t>
      </w:r>
      <w:r w:rsidRPr="0072118B">
        <w:rPr>
          <w:rFonts w:ascii="Times New Roman" w:hAnsi="Times New Roman" w:cs="Times New Roman"/>
          <w:sz w:val="28"/>
          <w:szCs w:val="28"/>
        </w:rPr>
        <w:lastRenderedPageBreak/>
        <w:t>обеспечения благоприятных условий жизнедеятельности человека и подлежащих применению при подготовке документов территориального планирования, градостроительного зонирования, документации по планировке территории.</w:t>
      </w:r>
    </w:p>
    <w:p w14:paraId="068F29DE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 xml:space="preserve">Область нормирования – область экономической деятельности,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</w:t>
      </w:r>
      <w:proofErr w:type="spellStart"/>
      <w:r w:rsidRPr="0072118B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72118B">
        <w:rPr>
          <w:rFonts w:ascii="Times New Roman" w:hAnsi="Times New Roman" w:cs="Times New Roman"/>
          <w:sz w:val="28"/>
          <w:szCs w:val="28"/>
        </w:rPr>
        <w:t xml:space="preserve"> РФ.</w:t>
      </w:r>
    </w:p>
    <w:p w14:paraId="3D45CBF7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Общественный транспорт – разновидность пассажирского транспорта как отрасли, предоставляющей услуги по перевозке людей по маршрутам, которые перевозчик заранее устанавливает, доводя до общего сведения способ доставки (транспортное средство), размер и форму оплаты, гарантируя регулярность (повторяемость движения по завершении производственного цикла перевозки), а также неизменяемость маршрута по требованию пассажиров.</w:t>
      </w:r>
    </w:p>
    <w:p w14:paraId="39AEA3EA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Объекты местного значения – объекты капитального строительства, иные объекты, территории, которые необходимы для осуществления ОМСУ полномочий по вопросам местного значения и в пределах переданных государственных полномочий в соответствии с федеральными законами, законом субъекта Российской Федерации, уставами муниципальных образований и оказывают существенное влияние на социально-экономическое развитие муниципальных районов, муниципальных округов, поселений, городских округов.</w:t>
      </w:r>
    </w:p>
    <w:p w14:paraId="7BD31209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Органы местного самоуправления (ОМСУ) – избираемые непосредственно населением и (или) образуемые представительным органом муниципального образования органы, наделенные собственными полномочиями по решению вопросов местного значения.</w:t>
      </w:r>
    </w:p>
    <w:p w14:paraId="6B67CECA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Программы комплексного развития систем коммунальной инфраструктуры – документы, устанавливающие перечни мероприятий по проектированию, строительству, реконструкции систем электро-, газо-, тепло-, водоснабжения и водоотведения, объектов, используемых для обработки, утилизации, обезвреживания и захоронения твердых коммунальных отходов, которые предусмотрены соответственно схемами и программами развития единой национальной (общероссийской) электрической сети на долгосрочный период, генеральной схемой размещения объектов электроэнергетики, генеральной схемой газификации и газоснабжения Ставропольского края, соответствующими межрегиональными, региональными программами газификации, схемами теплоснабжения, схемами водоснабжения и водоотведения, территориальными схемами в области обращения с отходами, в том числе с твердыми коммунальными отходами.</w:t>
      </w:r>
    </w:p>
    <w:p w14:paraId="08750E67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 xml:space="preserve">Программы комплексного развития социальной инфраструктуры – документы, устанавливающие перечни мероприятий по проектированию, строительству, реконструкции объектов социальной инфраструктуры местного значения области, которые предусмотрены также государственными </w:t>
      </w:r>
      <w:r w:rsidRPr="0072118B">
        <w:rPr>
          <w:rFonts w:ascii="Times New Roman" w:hAnsi="Times New Roman" w:cs="Times New Roman"/>
          <w:sz w:val="28"/>
          <w:szCs w:val="28"/>
        </w:rPr>
        <w:lastRenderedPageBreak/>
        <w:t xml:space="preserve">и муниципальными программами, стратегией социально-экономического развития муниципального образования и планом мероприятий по реализации стратегии социально-экономического развития муниципального образования (при наличии данных стратегии и плана), планом и программой комплексного социально-экономического развития муниципального образования. </w:t>
      </w:r>
    </w:p>
    <w:p w14:paraId="0DB63201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 xml:space="preserve">Программы комплексного развития транспортной инфраструктуры – документы, устанавливающие перечни мероприятий по проектированию, строительству, реконструкции объектов транспортной инфраструктуры местного значения, которые предусмотрены также государственными и муниципальными программами, стратегией социально-экономического развития муниципального образования и планом мероприятий по реализации стратегии социально-экономического развития муниципального образования (при наличии данных стратегии и плана), планом и программой комплексного социально-экономического развития муниципального образования, инвестиционными программами субъектов естественных монополий в области транспорта. </w:t>
      </w:r>
    </w:p>
    <w:p w14:paraId="21A906C3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Пропускная способность – метрическая характеристика, показывающая соотношение предельного количества проходящих единиц (информации, предметов, объема, посетителей и прочих аналогичных показателей) в единицу времени через систему, узел, объект.</w:t>
      </w:r>
    </w:p>
    <w:p w14:paraId="6C753BBB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Ритуальные услуги – услуги, связанные с погребением умерших граждан, в том числе: организация похорон, бальзамирование, санитарная и косметическая обработка трупов; захоронение и перезахоронение; услуги крематориев; уход за могилой; изготовление гробов.</w:t>
      </w:r>
    </w:p>
    <w:p w14:paraId="68816D6B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Система коммунальной инфраструктуры – комплекс технологически связанных между собой объектов и инженерных сооружений, предназначенных для осуществления поставок товаров и оказания услуг в сферах электро-, газо-, тепло-, водоснабжения и водоотведения до точек подключения (технологического присоединения) к инженерным системам электро-, газо-, тепло-, водоснабжения и водоотведения объектов капитального строительства, а также объектов, используемых для обработки, утилизации, обезвреживания, захоронения твердых коммунальных отходов; утилизации, обезвреживания, захоронения твердых коммунальных отходов.</w:t>
      </w:r>
    </w:p>
    <w:p w14:paraId="484F7EB5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Социальное обслуживание – деятельность по социальной поддержке, оказанию социально-бытовых, социально-медицинских, психолого-педагогических, социально-правовых услуг и материальной помощи, проведению социальной адаптации и реабилитации граждан, находящихся в трудной жизненной ситуации.</w:t>
      </w:r>
    </w:p>
    <w:p w14:paraId="2CBCC19E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bCs/>
          <w:sz w:val="28"/>
          <w:szCs w:val="28"/>
        </w:rPr>
        <w:t>Средства индивидуальной мобильности (СИМ)</w:t>
      </w:r>
      <w:r w:rsidRPr="0072118B">
        <w:rPr>
          <w:rFonts w:ascii="Times New Roman" w:hAnsi="Times New Roman" w:cs="Times New Roman"/>
          <w:sz w:val="28"/>
          <w:szCs w:val="28"/>
        </w:rPr>
        <w:t xml:space="preserve"> –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</w:t>
      </w:r>
      <w:proofErr w:type="spellStart"/>
      <w:r w:rsidRPr="0072118B">
        <w:rPr>
          <w:rFonts w:ascii="Times New Roman" w:hAnsi="Times New Roman" w:cs="Times New Roman"/>
          <w:sz w:val="28"/>
          <w:szCs w:val="28"/>
        </w:rPr>
        <w:t>электросамокаты</w:t>
      </w:r>
      <w:proofErr w:type="spellEnd"/>
      <w:r w:rsidRPr="007211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18B">
        <w:rPr>
          <w:rFonts w:ascii="Times New Roman" w:hAnsi="Times New Roman" w:cs="Times New Roman"/>
          <w:sz w:val="28"/>
          <w:szCs w:val="28"/>
        </w:rPr>
        <w:t>электроскейтборды</w:t>
      </w:r>
      <w:proofErr w:type="spellEnd"/>
      <w:r w:rsidRPr="007211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18B">
        <w:rPr>
          <w:rFonts w:ascii="Times New Roman" w:hAnsi="Times New Roman" w:cs="Times New Roman"/>
          <w:sz w:val="28"/>
          <w:szCs w:val="28"/>
        </w:rPr>
        <w:t>гироскутеры</w:t>
      </w:r>
      <w:proofErr w:type="spellEnd"/>
      <w:r w:rsidRPr="007211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18B">
        <w:rPr>
          <w:rFonts w:ascii="Times New Roman" w:hAnsi="Times New Roman" w:cs="Times New Roman"/>
          <w:sz w:val="28"/>
          <w:szCs w:val="28"/>
        </w:rPr>
        <w:t>сигвеи</w:t>
      </w:r>
      <w:proofErr w:type="spellEnd"/>
      <w:r w:rsidRPr="007211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18B">
        <w:rPr>
          <w:rFonts w:ascii="Times New Roman" w:hAnsi="Times New Roman" w:cs="Times New Roman"/>
          <w:sz w:val="28"/>
          <w:szCs w:val="28"/>
        </w:rPr>
        <w:t>моноколеса</w:t>
      </w:r>
      <w:proofErr w:type="spellEnd"/>
      <w:r w:rsidRPr="0072118B">
        <w:rPr>
          <w:rFonts w:ascii="Times New Roman" w:hAnsi="Times New Roman" w:cs="Times New Roman"/>
          <w:sz w:val="28"/>
          <w:szCs w:val="28"/>
        </w:rPr>
        <w:t xml:space="preserve"> и иные аналогичные средства).</w:t>
      </w:r>
    </w:p>
    <w:p w14:paraId="605C9866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 xml:space="preserve">Твердые коммунальные отходы (ТКО) – отходы, образующиеся в жилых помещениях в процессе потребления физическими лицами, а также товары, </w:t>
      </w:r>
      <w:r w:rsidRPr="0072118B">
        <w:rPr>
          <w:rFonts w:ascii="Times New Roman" w:hAnsi="Times New Roman" w:cs="Times New Roman"/>
          <w:sz w:val="28"/>
          <w:szCs w:val="28"/>
        </w:rPr>
        <w:lastRenderedPageBreak/>
        <w:t>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ТКО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лицами.</w:t>
      </w:r>
    </w:p>
    <w:p w14:paraId="5B4F5E44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Территориальная доступность – пространственная характеристика сети объектов социальной, транспортной и коммунальной инфраструктур, определяемая, либо исходя из затрат времени на достижение выбранного объекта, либо исходя из расстояния до выбранного объекта, измеренного по прямой, по имеющимся путям передвижения, или иным образом.</w:t>
      </w:r>
    </w:p>
    <w:p w14:paraId="0EE02F0C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Территории, в границах которых предусматривается осуществление деятельности по комплексному развитию территории (КРТ) – территории, в границах которых предусматривается осуществление деятельности по комплексному развитию территории, в отношении которых заключается один или несколько договоров, предусматривающих осуществление деятельности по комплексному развитию территории</w:t>
      </w:r>
      <w:r w:rsidRPr="0072118B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72118B">
        <w:rPr>
          <w:rFonts w:ascii="Times New Roman" w:hAnsi="Times New Roman" w:cs="Times New Roman"/>
          <w:sz w:val="28"/>
          <w:szCs w:val="28"/>
        </w:rPr>
        <w:t>.</w:t>
      </w:r>
    </w:p>
    <w:p w14:paraId="497998C1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 xml:space="preserve">Территории общего пользования –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бульвары). </w:t>
      </w:r>
    </w:p>
    <w:p w14:paraId="58E60332" w14:textId="77777777" w:rsidR="005E5383" w:rsidRPr="0072118B" w:rsidRDefault="005E5383" w:rsidP="0072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Устойчивое развитие территорий – обеспечение при осуществлении градостроительной деятельности безопасности и благоприятных условий жизнедеятельности человека,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поколений.</w:t>
      </w:r>
    </w:p>
    <w:p w14:paraId="599B6A06" w14:textId="77777777" w:rsidR="00D518EA" w:rsidRPr="00CC4118" w:rsidRDefault="00D518EA" w:rsidP="00CC41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0B158243" w14:textId="5D65CCF9" w:rsidR="005E5383" w:rsidRPr="00CC4118" w:rsidRDefault="005E5383" w:rsidP="00CC411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5756671" w14:textId="77777777" w:rsidR="006A51E7" w:rsidRPr="001D309D" w:rsidRDefault="006A51E7" w:rsidP="005E5383">
      <w:pPr>
        <w:rPr>
          <w:rFonts w:ascii="Times New Roman" w:hAnsi="Times New Roman" w:cs="Times New Roman"/>
          <w:sz w:val="24"/>
          <w:szCs w:val="28"/>
        </w:rPr>
      </w:pPr>
      <w:bookmarkStart w:id="2" w:name="_GoBack"/>
      <w:bookmarkEnd w:id="2"/>
    </w:p>
    <w:sectPr w:rsidR="006A51E7" w:rsidRPr="001D309D" w:rsidSect="00404E98">
      <w:headerReference w:type="default" r:id="rId8"/>
      <w:pgSz w:w="11906" w:h="16838"/>
      <w:pgMar w:top="1134" w:right="566" w:bottom="1134" w:left="1985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DAE61" w14:textId="77777777" w:rsidR="009C146F" w:rsidRDefault="009C146F" w:rsidP="00892FC9">
      <w:pPr>
        <w:spacing w:after="0" w:line="240" w:lineRule="auto"/>
      </w:pPr>
      <w:r>
        <w:separator/>
      </w:r>
    </w:p>
  </w:endnote>
  <w:endnote w:type="continuationSeparator" w:id="0">
    <w:p w14:paraId="79C581D0" w14:textId="77777777" w:rsidR="009C146F" w:rsidRDefault="009C146F" w:rsidP="00892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CCA7E" w14:textId="77777777" w:rsidR="009C146F" w:rsidRDefault="009C146F" w:rsidP="00892FC9">
      <w:pPr>
        <w:spacing w:after="0" w:line="240" w:lineRule="auto"/>
      </w:pPr>
      <w:r>
        <w:separator/>
      </w:r>
    </w:p>
  </w:footnote>
  <w:footnote w:type="continuationSeparator" w:id="0">
    <w:p w14:paraId="4D478FB8" w14:textId="77777777" w:rsidR="009C146F" w:rsidRDefault="009C146F" w:rsidP="00892FC9">
      <w:pPr>
        <w:spacing w:after="0" w:line="240" w:lineRule="auto"/>
      </w:pPr>
      <w:r>
        <w:continuationSeparator/>
      </w:r>
    </w:p>
  </w:footnote>
  <w:footnote w:id="1">
    <w:p w14:paraId="45CCDF5D" w14:textId="77777777" w:rsidR="00023CAA" w:rsidRPr="002F7293" w:rsidRDefault="00023CAA" w:rsidP="005E5383">
      <w:pPr>
        <w:pStyle w:val="ad"/>
        <w:jc w:val="both"/>
        <w:rPr>
          <w:rFonts w:ascii="Times New Roman" w:hAnsi="Times New Roman" w:cs="Times New Roman"/>
        </w:rPr>
      </w:pPr>
      <w:r w:rsidRPr="002F7293">
        <w:rPr>
          <w:rStyle w:val="af"/>
          <w:rFonts w:ascii="Times New Roman" w:hAnsi="Times New Roman" w:cs="Times New Roman"/>
        </w:rPr>
        <w:footnoteRef/>
      </w:r>
      <w:r w:rsidRPr="002F7293">
        <w:rPr>
          <w:rFonts w:ascii="Times New Roman" w:hAnsi="Times New Roman" w:cs="Times New Roman"/>
        </w:rPr>
        <w:t xml:space="preserve"> с учетом пункта 34 статьи 1, части 5.1 статьи 30 и иных положений </w:t>
      </w:r>
      <w:proofErr w:type="spellStart"/>
      <w:r w:rsidRPr="002F7293">
        <w:rPr>
          <w:rFonts w:ascii="Times New Roman" w:hAnsi="Times New Roman" w:cs="Times New Roman"/>
        </w:rPr>
        <w:t>ГрК</w:t>
      </w:r>
      <w:proofErr w:type="spellEnd"/>
      <w:r w:rsidRPr="002F7293">
        <w:rPr>
          <w:rFonts w:ascii="Times New Roman" w:hAnsi="Times New Roman" w:cs="Times New Roman"/>
        </w:rPr>
        <w:t xml:space="preserve"> РФ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0709242"/>
      <w:docPartObj>
        <w:docPartGallery w:val="Page Numbers (Top of Page)"/>
        <w:docPartUnique/>
      </w:docPartObj>
    </w:sdtPr>
    <w:sdtEndPr/>
    <w:sdtContent>
      <w:p w14:paraId="575F29B4" w14:textId="4238AFE6" w:rsidR="00023CAA" w:rsidRDefault="00023CAA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F98">
          <w:rPr>
            <w:noProof/>
          </w:rPr>
          <w:t>3</w:t>
        </w:r>
        <w:r>
          <w:fldChar w:fldCharType="end"/>
        </w:r>
      </w:p>
    </w:sdtContent>
  </w:sdt>
  <w:p w14:paraId="36DF2546" w14:textId="77777777" w:rsidR="00023CAA" w:rsidRDefault="00023CAA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D0CE9"/>
    <w:multiLevelType w:val="hybridMultilevel"/>
    <w:tmpl w:val="0C38FD38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D55122"/>
    <w:multiLevelType w:val="hybridMultilevel"/>
    <w:tmpl w:val="9ECC90FC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20C8A"/>
    <w:multiLevelType w:val="hybridMultilevel"/>
    <w:tmpl w:val="8C6EDE5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0F2FB3"/>
    <w:multiLevelType w:val="hybridMultilevel"/>
    <w:tmpl w:val="5804F4B4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BE4266"/>
    <w:multiLevelType w:val="hybridMultilevel"/>
    <w:tmpl w:val="F3BACEB0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580D17"/>
    <w:multiLevelType w:val="hybridMultilevel"/>
    <w:tmpl w:val="A5B20A08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F54B5"/>
    <w:multiLevelType w:val="hybridMultilevel"/>
    <w:tmpl w:val="B3EA86B8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11029"/>
    <w:multiLevelType w:val="hybridMultilevel"/>
    <w:tmpl w:val="96B06A9E"/>
    <w:lvl w:ilvl="0" w:tplc="AAA28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734176"/>
    <w:multiLevelType w:val="hybridMultilevel"/>
    <w:tmpl w:val="A54A9D42"/>
    <w:lvl w:ilvl="0" w:tplc="7FE01B6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DBF787E"/>
    <w:multiLevelType w:val="hybridMultilevel"/>
    <w:tmpl w:val="A47477D8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CE479BB"/>
    <w:multiLevelType w:val="hybridMultilevel"/>
    <w:tmpl w:val="768A0F8E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F0BEA"/>
    <w:multiLevelType w:val="hybridMultilevel"/>
    <w:tmpl w:val="94B0CF1C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BE06057"/>
    <w:multiLevelType w:val="hybridMultilevel"/>
    <w:tmpl w:val="5F4E918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C00301F"/>
    <w:multiLevelType w:val="multilevel"/>
    <w:tmpl w:val="8F02A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E5C42C5"/>
    <w:multiLevelType w:val="hybridMultilevel"/>
    <w:tmpl w:val="8CA4E70A"/>
    <w:lvl w:ilvl="0" w:tplc="AAA28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1B10965"/>
    <w:multiLevelType w:val="hybridMultilevel"/>
    <w:tmpl w:val="2092FB1C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8097939"/>
    <w:multiLevelType w:val="hybridMultilevel"/>
    <w:tmpl w:val="7E6A5024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9C2016A"/>
    <w:multiLevelType w:val="hybridMultilevel"/>
    <w:tmpl w:val="BF9C63A4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67BEA"/>
    <w:multiLevelType w:val="hybridMultilevel"/>
    <w:tmpl w:val="C262B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2A1DC3"/>
    <w:multiLevelType w:val="hybridMultilevel"/>
    <w:tmpl w:val="10C8466A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CCA193A"/>
    <w:multiLevelType w:val="hybridMultilevel"/>
    <w:tmpl w:val="D6CAAF6A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9"/>
  </w:num>
  <w:num w:numId="5">
    <w:abstractNumId w:val="3"/>
  </w:num>
  <w:num w:numId="6">
    <w:abstractNumId w:val="20"/>
  </w:num>
  <w:num w:numId="7">
    <w:abstractNumId w:val="16"/>
  </w:num>
  <w:num w:numId="8">
    <w:abstractNumId w:val="10"/>
  </w:num>
  <w:num w:numId="9">
    <w:abstractNumId w:val="15"/>
  </w:num>
  <w:num w:numId="10">
    <w:abstractNumId w:val="6"/>
  </w:num>
  <w:num w:numId="11">
    <w:abstractNumId w:val="1"/>
  </w:num>
  <w:num w:numId="12">
    <w:abstractNumId w:val="17"/>
  </w:num>
  <w:num w:numId="13">
    <w:abstractNumId w:val="19"/>
  </w:num>
  <w:num w:numId="14">
    <w:abstractNumId w:val="5"/>
  </w:num>
  <w:num w:numId="15">
    <w:abstractNumId w:val="13"/>
  </w:num>
  <w:num w:numId="16">
    <w:abstractNumId w:val="2"/>
  </w:num>
  <w:num w:numId="17">
    <w:abstractNumId w:val="18"/>
  </w:num>
  <w:num w:numId="18">
    <w:abstractNumId w:val="7"/>
  </w:num>
  <w:num w:numId="19">
    <w:abstractNumId w:val="14"/>
  </w:num>
  <w:num w:numId="20">
    <w:abstractNumId w:val="8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756"/>
    <w:rsid w:val="00023CAA"/>
    <w:rsid w:val="0003008D"/>
    <w:rsid w:val="000449B1"/>
    <w:rsid w:val="00047527"/>
    <w:rsid w:val="00052A76"/>
    <w:rsid w:val="00091A8B"/>
    <w:rsid w:val="000C6CA0"/>
    <w:rsid w:val="000D356A"/>
    <w:rsid w:val="000D35FB"/>
    <w:rsid w:val="00102847"/>
    <w:rsid w:val="0015226B"/>
    <w:rsid w:val="00180AA9"/>
    <w:rsid w:val="00185354"/>
    <w:rsid w:val="001866A4"/>
    <w:rsid w:val="0019340F"/>
    <w:rsid w:val="001C1E76"/>
    <w:rsid w:val="001D5111"/>
    <w:rsid w:val="00211736"/>
    <w:rsid w:val="002514AA"/>
    <w:rsid w:val="002630CD"/>
    <w:rsid w:val="00267FB3"/>
    <w:rsid w:val="002702F7"/>
    <w:rsid w:val="00292C5F"/>
    <w:rsid w:val="002A1FE9"/>
    <w:rsid w:val="002B2B23"/>
    <w:rsid w:val="002B51F2"/>
    <w:rsid w:val="00305801"/>
    <w:rsid w:val="00321920"/>
    <w:rsid w:val="00333AAF"/>
    <w:rsid w:val="00351D37"/>
    <w:rsid w:val="003638FF"/>
    <w:rsid w:val="00363D7B"/>
    <w:rsid w:val="00375F98"/>
    <w:rsid w:val="00384650"/>
    <w:rsid w:val="00391E21"/>
    <w:rsid w:val="003C1F79"/>
    <w:rsid w:val="003D7E71"/>
    <w:rsid w:val="003F5FC3"/>
    <w:rsid w:val="003F7167"/>
    <w:rsid w:val="00404E98"/>
    <w:rsid w:val="004300B0"/>
    <w:rsid w:val="0043615A"/>
    <w:rsid w:val="004453BD"/>
    <w:rsid w:val="00447B1F"/>
    <w:rsid w:val="0045611B"/>
    <w:rsid w:val="004939B9"/>
    <w:rsid w:val="004978E3"/>
    <w:rsid w:val="00515FB2"/>
    <w:rsid w:val="00520FA2"/>
    <w:rsid w:val="0054155A"/>
    <w:rsid w:val="00580346"/>
    <w:rsid w:val="0058107C"/>
    <w:rsid w:val="0059280F"/>
    <w:rsid w:val="00594B7A"/>
    <w:rsid w:val="005C5984"/>
    <w:rsid w:val="005E5383"/>
    <w:rsid w:val="0061043D"/>
    <w:rsid w:val="006128EF"/>
    <w:rsid w:val="00615B7B"/>
    <w:rsid w:val="00617A72"/>
    <w:rsid w:val="00633347"/>
    <w:rsid w:val="00633364"/>
    <w:rsid w:val="00665358"/>
    <w:rsid w:val="00687BE1"/>
    <w:rsid w:val="006A3E46"/>
    <w:rsid w:val="006A51E7"/>
    <w:rsid w:val="006D1903"/>
    <w:rsid w:val="006D26A2"/>
    <w:rsid w:val="006D5EE6"/>
    <w:rsid w:val="00704D1D"/>
    <w:rsid w:val="0071241B"/>
    <w:rsid w:val="0072118B"/>
    <w:rsid w:val="007336FB"/>
    <w:rsid w:val="00746AB9"/>
    <w:rsid w:val="007502A2"/>
    <w:rsid w:val="00767478"/>
    <w:rsid w:val="007764CF"/>
    <w:rsid w:val="007A25EB"/>
    <w:rsid w:val="007F0044"/>
    <w:rsid w:val="0081465A"/>
    <w:rsid w:val="00817AA9"/>
    <w:rsid w:val="0082016B"/>
    <w:rsid w:val="00892FC9"/>
    <w:rsid w:val="008F4BB3"/>
    <w:rsid w:val="00911BD9"/>
    <w:rsid w:val="00926F49"/>
    <w:rsid w:val="0093684C"/>
    <w:rsid w:val="00953EA6"/>
    <w:rsid w:val="00961750"/>
    <w:rsid w:val="00976537"/>
    <w:rsid w:val="00983319"/>
    <w:rsid w:val="00984A42"/>
    <w:rsid w:val="00996E61"/>
    <w:rsid w:val="009A770D"/>
    <w:rsid w:val="009C04FD"/>
    <w:rsid w:val="009C146F"/>
    <w:rsid w:val="009E3E2E"/>
    <w:rsid w:val="00A01AE1"/>
    <w:rsid w:val="00A17E5F"/>
    <w:rsid w:val="00A21F63"/>
    <w:rsid w:val="00A220E0"/>
    <w:rsid w:val="00A51466"/>
    <w:rsid w:val="00A550BF"/>
    <w:rsid w:val="00A606F2"/>
    <w:rsid w:val="00A6569D"/>
    <w:rsid w:val="00A7506B"/>
    <w:rsid w:val="00A860B7"/>
    <w:rsid w:val="00AA3433"/>
    <w:rsid w:val="00AB1FE3"/>
    <w:rsid w:val="00AC0B5E"/>
    <w:rsid w:val="00AD1D17"/>
    <w:rsid w:val="00AD3084"/>
    <w:rsid w:val="00B128A4"/>
    <w:rsid w:val="00B66707"/>
    <w:rsid w:val="00B712C2"/>
    <w:rsid w:val="00B82662"/>
    <w:rsid w:val="00BC2EC6"/>
    <w:rsid w:val="00BE5C68"/>
    <w:rsid w:val="00C0593F"/>
    <w:rsid w:val="00C15426"/>
    <w:rsid w:val="00C46C21"/>
    <w:rsid w:val="00C55291"/>
    <w:rsid w:val="00C93BBA"/>
    <w:rsid w:val="00C96B3E"/>
    <w:rsid w:val="00CA1B4A"/>
    <w:rsid w:val="00CC4118"/>
    <w:rsid w:val="00CD5526"/>
    <w:rsid w:val="00CE1EDD"/>
    <w:rsid w:val="00CE259E"/>
    <w:rsid w:val="00CF2433"/>
    <w:rsid w:val="00D02357"/>
    <w:rsid w:val="00D17BD5"/>
    <w:rsid w:val="00D518EA"/>
    <w:rsid w:val="00D620A4"/>
    <w:rsid w:val="00D62174"/>
    <w:rsid w:val="00D84B9D"/>
    <w:rsid w:val="00D86756"/>
    <w:rsid w:val="00D907CE"/>
    <w:rsid w:val="00DA4743"/>
    <w:rsid w:val="00DB62C0"/>
    <w:rsid w:val="00DB6D3A"/>
    <w:rsid w:val="00DC42F3"/>
    <w:rsid w:val="00DD2336"/>
    <w:rsid w:val="00DF0780"/>
    <w:rsid w:val="00E14027"/>
    <w:rsid w:val="00E37A55"/>
    <w:rsid w:val="00E746DE"/>
    <w:rsid w:val="00EA0FD5"/>
    <w:rsid w:val="00EC7595"/>
    <w:rsid w:val="00ED5E3D"/>
    <w:rsid w:val="00EE3B1A"/>
    <w:rsid w:val="00F1140E"/>
    <w:rsid w:val="00F115F9"/>
    <w:rsid w:val="00F42943"/>
    <w:rsid w:val="00F42F31"/>
    <w:rsid w:val="00F54383"/>
    <w:rsid w:val="00F71FAF"/>
    <w:rsid w:val="00F9530C"/>
    <w:rsid w:val="00FB3CC6"/>
    <w:rsid w:val="00FE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809BC60"/>
  <w15:chartTrackingRefBased/>
  <w15:docId w15:val="{79027EB4-03C6-4352-9270-2AFB5DD9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9B1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86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6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7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7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67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67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67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67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67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67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67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67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67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6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6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6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6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6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67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67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67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67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67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675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33AAF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0" w:line="276" w:lineRule="auto"/>
      <w:jc w:val="both"/>
      <w:outlineLvl w:val="0"/>
    </w:pPr>
    <w:rPr>
      <w:rFonts w:ascii="Times New Roman" w:hAnsi="Times New Roman" w:cs="Times New Roman"/>
      <w:b/>
      <w:noProof/>
      <w:sz w:val="28"/>
      <w:szCs w:val="28"/>
    </w:rPr>
  </w:style>
  <w:style w:type="paragraph" w:styleId="23">
    <w:name w:val="toc 2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100" w:line="276" w:lineRule="auto"/>
      <w:ind w:left="284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100" w:line="276" w:lineRule="auto"/>
      <w:ind w:left="851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41">
    <w:name w:val="toc 4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100" w:line="276" w:lineRule="auto"/>
      <w:ind w:left="851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ad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, Знак3"/>
    <w:basedOn w:val="a"/>
    <w:link w:val="ae"/>
    <w:uiPriority w:val="99"/>
    <w:unhideWhenUsed/>
    <w:qFormat/>
    <w:rsid w:val="00892FC9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, Знак3 Знак"/>
    <w:basedOn w:val="a0"/>
    <w:link w:val="ad"/>
    <w:uiPriority w:val="99"/>
    <w:rsid w:val="00892FC9"/>
    <w:rPr>
      <w:kern w:val="0"/>
      <w:sz w:val="20"/>
      <w:szCs w:val="20"/>
      <w14:ligatures w14:val="none"/>
    </w:rPr>
  </w:style>
  <w:style w:type="character" w:styleId="af">
    <w:name w:val="footnote reference"/>
    <w:aliases w:val="Знак сноски-FN,Знак сноски 1,Ciae niinee-FN,Referencia nota al pie,Ссылка на сноску 45,Appel note de bas de page,SUPERS,fr,Used by Word for Help footnote symbols,Ciae niinee 1,16 Point,Superscript 6 Point,Footnote Reference Number"/>
    <w:basedOn w:val="a0"/>
    <w:uiPriority w:val="99"/>
    <w:unhideWhenUsed/>
    <w:rsid w:val="00892FC9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892FC9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493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aption"/>
    <w:basedOn w:val="a"/>
    <w:next w:val="a"/>
    <w:uiPriority w:val="35"/>
    <w:unhideWhenUsed/>
    <w:qFormat/>
    <w:rsid w:val="004939B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A606F2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A606F2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A606F2"/>
    <w:rPr>
      <w:kern w:val="0"/>
      <w:sz w:val="20"/>
      <w:szCs w:val="20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606F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A606F2"/>
    <w:rPr>
      <w:b/>
      <w:bCs/>
      <w:kern w:val="0"/>
      <w:sz w:val="20"/>
      <w:szCs w:val="20"/>
      <w14:ligatures w14:val="none"/>
    </w:rPr>
  </w:style>
  <w:style w:type="character" w:styleId="af7">
    <w:name w:val="FollowedHyperlink"/>
    <w:basedOn w:val="a0"/>
    <w:uiPriority w:val="99"/>
    <w:semiHidden/>
    <w:unhideWhenUsed/>
    <w:rsid w:val="00A21F63"/>
    <w:rPr>
      <w:color w:val="954F72" w:themeColor="followedHyperlink"/>
      <w:u w:val="single"/>
    </w:rPr>
  </w:style>
  <w:style w:type="table" w:customStyle="1" w:styleId="13">
    <w:name w:val="Сетка таблицы13"/>
    <w:basedOn w:val="a1"/>
    <w:next w:val="af0"/>
    <w:uiPriority w:val="39"/>
    <w:rsid w:val="0019340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f0"/>
    <w:uiPriority w:val="39"/>
    <w:rsid w:val="00A17E5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0"/>
    <w:uiPriority w:val="39"/>
    <w:rsid w:val="00B128A4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f0"/>
    <w:uiPriority w:val="39"/>
    <w:rsid w:val="00B128A4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f0"/>
    <w:uiPriority w:val="39"/>
    <w:rsid w:val="00B128A4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f0"/>
    <w:uiPriority w:val="39"/>
    <w:rsid w:val="00447B1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f0"/>
    <w:uiPriority w:val="39"/>
    <w:rsid w:val="00447B1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f0"/>
    <w:uiPriority w:val="39"/>
    <w:rsid w:val="003C1F79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f0"/>
    <w:uiPriority w:val="39"/>
    <w:rsid w:val="00A6569D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f0"/>
    <w:uiPriority w:val="39"/>
    <w:rsid w:val="00633347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f0"/>
    <w:uiPriority w:val="39"/>
    <w:rsid w:val="00DC42F3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f0"/>
    <w:uiPriority w:val="39"/>
    <w:rsid w:val="00FB3CC6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0"/>
    <w:uiPriority w:val="39"/>
    <w:rsid w:val="00FB3CC6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f0"/>
    <w:uiPriority w:val="39"/>
    <w:rsid w:val="00EE3B1A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f0"/>
    <w:uiPriority w:val="39"/>
    <w:rsid w:val="00EE3B1A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f0"/>
    <w:uiPriority w:val="39"/>
    <w:rsid w:val="00AD1D17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f0"/>
    <w:uiPriority w:val="39"/>
    <w:rsid w:val="00704D1D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1">
    <w:name w:val="toc 5"/>
    <w:basedOn w:val="a"/>
    <w:next w:val="a"/>
    <w:autoRedefine/>
    <w:uiPriority w:val="39"/>
    <w:unhideWhenUsed/>
    <w:rsid w:val="00FE3C94"/>
    <w:pPr>
      <w:spacing w:after="100"/>
      <w:ind w:left="880"/>
    </w:pPr>
  </w:style>
  <w:style w:type="paragraph" w:styleId="af8">
    <w:name w:val="header"/>
    <w:basedOn w:val="a"/>
    <w:link w:val="af9"/>
    <w:uiPriority w:val="99"/>
    <w:unhideWhenUsed/>
    <w:rsid w:val="00FE3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FE3C94"/>
    <w:rPr>
      <w:kern w:val="0"/>
      <w14:ligatures w14:val="none"/>
    </w:rPr>
  </w:style>
  <w:style w:type="paragraph" w:styleId="afa">
    <w:name w:val="footer"/>
    <w:basedOn w:val="a"/>
    <w:link w:val="afb"/>
    <w:uiPriority w:val="99"/>
    <w:unhideWhenUsed/>
    <w:rsid w:val="00FE3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FE3C94"/>
    <w:rPr>
      <w:kern w:val="0"/>
      <w14:ligatures w14:val="none"/>
    </w:rPr>
  </w:style>
  <w:style w:type="paragraph" w:styleId="afc">
    <w:name w:val="Balloon Text"/>
    <w:basedOn w:val="a"/>
    <w:link w:val="afd"/>
    <w:uiPriority w:val="99"/>
    <w:semiHidden/>
    <w:unhideWhenUsed/>
    <w:rsid w:val="00CC4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CC4118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0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66820-1274-419F-BA56-D57330F04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1427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важенский</dc:creator>
  <cp:keywords/>
  <dc:description/>
  <cp:lastModifiedBy>ЮВ</cp:lastModifiedBy>
  <cp:revision>6</cp:revision>
  <cp:lastPrinted>2026-07-23T13:25:00Z</cp:lastPrinted>
  <dcterms:created xsi:type="dcterms:W3CDTF">2026-07-22T09:13:00Z</dcterms:created>
  <dcterms:modified xsi:type="dcterms:W3CDTF">2026-07-23T13:25:00Z</dcterms:modified>
</cp:coreProperties>
</file>